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DE3C" w14:textId="77777777" w:rsidR="000D6D68" w:rsidRPr="000D6D68" w:rsidRDefault="000D6D68" w:rsidP="000D6D68">
      <w:pPr>
        <w:jc w:val="center"/>
        <w:rPr>
          <w:rFonts w:ascii="Amasis MT Pro Black" w:hAnsi="Amasis MT Pro Black"/>
          <w:i/>
          <w:iCs/>
          <w:sz w:val="44"/>
          <w:szCs w:val="44"/>
        </w:rPr>
      </w:pPr>
      <w:r w:rsidRPr="000D6D68">
        <w:rPr>
          <w:rFonts w:ascii="Amasis MT Pro Black" w:hAnsi="Amasis MT Pro Black"/>
          <w:i/>
          <w:iCs/>
          <w:sz w:val="44"/>
          <w:szCs w:val="44"/>
        </w:rPr>
        <w:t>Florida Department of Education</w:t>
      </w:r>
    </w:p>
    <w:p w14:paraId="748C12C5" w14:textId="3EBCC53B" w:rsidR="000D6D68" w:rsidRDefault="000D6D68" w:rsidP="000D6D68">
      <w:pPr>
        <w:jc w:val="center"/>
        <w:rPr>
          <w:rFonts w:ascii="Amasis MT Pro Black" w:hAnsi="Amasis MT Pro Black"/>
          <w:i/>
          <w:iCs/>
          <w:sz w:val="44"/>
          <w:szCs w:val="44"/>
        </w:rPr>
      </w:pPr>
      <w:r>
        <w:rPr>
          <w:rFonts w:ascii="Amasis MT Pro Black" w:hAnsi="Amasis MT Pro Black"/>
          <w:i/>
          <w:iCs/>
          <w:sz w:val="44"/>
          <w:szCs w:val="44"/>
        </w:rPr>
        <w:t xml:space="preserve">24-credit </w:t>
      </w:r>
      <w:r w:rsidRPr="000D6D68">
        <w:rPr>
          <w:rFonts w:ascii="Amasis MT Pro Black" w:hAnsi="Amasis MT Pro Black"/>
          <w:i/>
          <w:iCs/>
          <w:sz w:val="44"/>
          <w:szCs w:val="44"/>
        </w:rPr>
        <w:t>Standard Diploma Requirements</w:t>
      </w:r>
    </w:p>
    <w:p w14:paraId="4AFA419F" w14:textId="13CD00C1" w:rsidR="000D6D68" w:rsidRPr="000D6D68" w:rsidRDefault="000D6D68" w:rsidP="000D6D68">
      <w:pPr>
        <w:jc w:val="center"/>
        <w:rPr>
          <w:rFonts w:ascii="Amasis MT Pro Black" w:hAnsi="Amasis MT Pro Black"/>
          <w:color w:val="EE0000"/>
          <w:sz w:val="32"/>
          <w:szCs w:val="32"/>
        </w:rPr>
      </w:pPr>
      <w:r w:rsidRPr="000D6D68">
        <w:rPr>
          <w:rFonts w:ascii="Amasis MT Pro Black" w:hAnsi="Amasis MT Pro Black"/>
          <w:color w:val="EE0000"/>
          <w:sz w:val="32"/>
          <w:szCs w:val="32"/>
        </w:rPr>
        <w:t>For a student to be eligible to earn their high school diploma</w:t>
      </w:r>
      <w:r>
        <w:rPr>
          <w:rFonts w:ascii="Amasis MT Pro Black" w:hAnsi="Amasis MT Pro Black"/>
          <w:color w:val="EE0000"/>
          <w:sz w:val="32"/>
          <w:szCs w:val="32"/>
        </w:rPr>
        <w:t xml:space="preserve"> and participate in graduation</w:t>
      </w:r>
      <w:r w:rsidRPr="000D6D68">
        <w:rPr>
          <w:rFonts w:ascii="Amasis MT Pro Black" w:hAnsi="Amasis MT Pro Black"/>
          <w:color w:val="EE0000"/>
          <w:sz w:val="32"/>
          <w:szCs w:val="32"/>
        </w:rPr>
        <w:t xml:space="preserve">, the following criteria </w:t>
      </w:r>
      <w:r w:rsidRPr="000D6D68">
        <w:rPr>
          <w:rFonts w:ascii="Amasis MT Pro Black" w:hAnsi="Amasis MT Pro Black"/>
          <w:i/>
          <w:iCs/>
          <w:color w:val="EE0000"/>
          <w:sz w:val="32"/>
          <w:szCs w:val="32"/>
        </w:rPr>
        <w:t>must</w:t>
      </w:r>
      <w:r w:rsidRPr="000D6D68">
        <w:rPr>
          <w:rFonts w:ascii="Amasis MT Pro Black" w:hAnsi="Amasis MT Pro Black"/>
          <w:color w:val="EE0000"/>
          <w:sz w:val="32"/>
          <w:szCs w:val="32"/>
        </w:rPr>
        <w:t xml:space="preserve"> be met.</w:t>
      </w:r>
    </w:p>
    <w:p w14:paraId="3CB90DF9" w14:textId="468F099D" w:rsidR="000D6D68" w:rsidRPr="000D6D68" w:rsidRDefault="000D6D68" w:rsidP="000D6D68">
      <w:pPr>
        <w:jc w:val="center"/>
        <w:rPr>
          <w:b/>
          <w:bCs/>
          <w:sz w:val="40"/>
          <w:szCs w:val="40"/>
          <w:u w:val="single"/>
        </w:rPr>
      </w:pPr>
      <w:r w:rsidRPr="000D6D68">
        <w:rPr>
          <w:b/>
          <w:bCs/>
          <w:sz w:val="40"/>
          <w:szCs w:val="40"/>
          <w:u w:val="single"/>
        </w:rPr>
        <w:t xml:space="preserve">* Students </w:t>
      </w:r>
      <w:r w:rsidR="00F13DE2">
        <w:rPr>
          <w:b/>
          <w:bCs/>
          <w:sz w:val="40"/>
          <w:szCs w:val="40"/>
          <w:u w:val="single"/>
        </w:rPr>
        <w:t>e</w:t>
      </w:r>
      <w:r w:rsidRPr="000D6D68">
        <w:rPr>
          <w:b/>
          <w:bCs/>
          <w:sz w:val="40"/>
          <w:szCs w:val="40"/>
          <w:u w:val="single"/>
        </w:rPr>
        <w:t>ntering Grade 9 in 2023-2024 and thereafter*</w:t>
      </w:r>
    </w:p>
    <w:p w14:paraId="38396F7E" w14:textId="64A742BB" w:rsidR="000D6D68" w:rsidRPr="000D6D68" w:rsidRDefault="000D6D68" w:rsidP="000D6D68">
      <w:pPr>
        <w:rPr>
          <w:b/>
          <w:bCs/>
          <w:sz w:val="28"/>
          <w:szCs w:val="28"/>
        </w:rPr>
      </w:pPr>
      <w:r w:rsidRPr="000D6D68">
        <w:rPr>
          <w:b/>
          <w:bCs/>
          <w:sz w:val="28"/>
          <w:szCs w:val="28"/>
        </w:rPr>
        <w:t xml:space="preserve">1. Students must earn a 2.0 or </w:t>
      </w:r>
      <w:r w:rsidR="00656EB7" w:rsidRPr="000D6D68">
        <w:rPr>
          <w:b/>
          <w:bCs/>
          <w:sz w:val="28"/>
          <w:szCs w:val="28"/>
        </w:rPr>
        <w:t>higher-grade</w:t>
      </w:r>
      <w:r w:rsidRPr="000D6D68">
        <w:rPr>
          <w:b/>
          <w:bCs/>
          <w:sz w:val="28"/>
          <w:szCs w:val="28"/>
        </w:rPr>
        <w:t xml:space="preserve"> point average (GPA)</w:t>
      </w:r>
    </w:p>
    <w:p w14:paraId="7FA47E54" w14:textId="507435B0" w:rsidR="000D6D68" w:rsidRPr="000D6D68" w:rsidRDefault="000D6D68" w:rsidP="000D6D68">
      <w:pPr>
        <w:rPr>
          <w:b/>
          <w:bCs/>
          <w:sz w:val="28"/>
          <w:szCs w:val="28"/>
        </w:rPr>
      </w:pPr>
      <w:r w:rsidRPr="000D6D68">
        <w:rPr>
          <w:b/>
          <w:bCs/>
          <w:sz w:val="28"/>
          <w:szCs w:val="28"/>
        </w:rPr>
        <w:t xml:space="preserve">2. Students must credit for the following </w:t>
      </w:r>
      <w:r w:rsidR="00656EB7" w:rsidRPr="000D6D68">
        <w:rPr>
          <w:b/>
          <w:bCs/>
          <w:sz w:val="28"/>
          <w:szCs w:val="28"/>
        </w:rPr>
        <w:t>courses.</w:t>
      </w:r>
    </w:p>
    <w:p w14:paraId="2259CD6B" w14:textId="0E76FD02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English/Language Arts: 4 credits</w:t>
      </w:r>
    </w:p>
    <w:p w14:paraId="6A2A520B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Math: 4 credits</w:t>
      </w:r>
    </w:p>
    <w:p w14:paraId="749A5778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Science: 3 credits</w:t>
      </w:r>
    </w:p>
    <w:p w14:paraId="601A90E0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Social studies: 3 credits</w:t>
      </w:r>
    </w:p>
    <w:p w14:paraId="7634CBFF" w14:textId="77777777" w:rsidR="000D6D68" w:rsidRPr="000D6D68" w:rsidRDefault="000D6D68" w:rsidP="000D6D68">
      <w:pPr>
        <w:ind w:left="720"/>
        <w:rPr>
          <w:b/>
          <w:bCs/>
        </w:rPr>
      </w:pPr>
      <w:r w:rsidRPr="000D6D68">
        <w:rPr>
          <w:b/>
          <w:bCs/>
        </w:rPr>
        <w:t>Fine and Performing Arts, Speech and Debate, Career and Technical Education, or Practical Arts: 1 credit</w:t>
      </w:r>
    </w:p>
    <w:p w14:paraId="6282E1AE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Physical Education with the integration of Health: 1 credit</w:t>
      </w:r>
    </w:p>
    <w:p w14:paraId="5218CDB7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Elective Courses: 7.5 credits</w:t>
      </w:r>
    </w:p>
    <w:p w14:paraId="1C98C8D6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Personal Financial Literacy: 0.5 credits</w:t>
      </w:r>
    </w:p>
    <w:p w14:paraId="2C5D8E0A" w14:textId="1AA910E7" w:rsidR="000D6D68" w:rsidRPr="000D6D68" w:rsidRDefault="000D6D68" w:rsidP="000D6D68">
      <w:pPr>
        <w:rPr>
          <w:b/>
          <w:bCs/>
          <w:sz w:val="28"/>
          <w:szCs w:val="28"/>
        </w:rPr>
      </w:pPr>
      <w:r w:rsidRPr="000D6D68">
        <w:rPr>
          <w:b/>
          <w:bCs/>
          <w:sz w:val="28"/>
          <w:szCs w:val="28"/>
        </w:rPr>
        <w:t xml:space="preserve">3. Students must also </w:t>
      </w:r>
      <w:r w:rsidRPr="000D6D68">
        <w:rPr>
          <w:b/>
          <w:bCs/>
          <w:sz w:val="28"/>
          <w:szCs w:val="28"/>
          <w:u w:val="single"/>
        </w:rPr>
        <w:t>pass</w:t>
      </w:r>
      <w:r w:rsidRPr="000D6D68">
        <w:rPr>
          <w:b/>
          <w:bCs/>
          <w:sz w:val="28"/>
          <w:szCs w:val="28"/>
        </w:rPr>
        <w:t xml:space="preserve"> the following statewide assessments:</w:t>
      </w:r>
    </w:p>
    <w:p w14:paraId="6612D1F3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Grade 10 English Language Arts or a concordant score</w:t>
      </w:r>
    </w:p>
    <w:p w14:paraId="7B0D5681" w14:textId="571C0F92" w:rsidR="000D6D68" w:rsidRPr="000D6D68" w:rsidRDefault="000D6D68" w:rsidP="000D6D68">
      <w:pPr>
        <w:ind w:left="720"/>
        <w:rPr>
          <w:b/>
          <w:bCs/>
        </w:rPr>
      </w:pPr>
      <w:r w:rsidRPr="000D6D68">
        <w:rPr>
          <w:b/>
          <w:bCs/>
        </w:rPr>
        <w:t>Algebra I end-of-course (EOC)</w:t>
      </w:r>
      <w:r>
        <w:rPr>
          <w:b/>
          <w:bCs/>
        </w:rPr>
        <w:t xml:space="preserve"> or a concordant score</w:t>
      </w:r>
    </w:p>
    <w:p w14:paraId="49BC7D09" w14:textId="508EDABB" w:rsidR="000D6D68" w:rsidRPr="000D6D68" w:rsidRDefault="000D6D68" w:rsidP="000D6D68">
      <w:pPr>
        <w:rPr>
          <w:b/>
          <w:bCs/>
          <w:sz w:val="28"/>
          <w:szCs w:val="28"/>
        </w:rPr>
      </w:pPr>
      <w:r w:rsidRPr="000D6D68">
        <w:rPr>
          <w:b/>
          <w:bCs/>
          <w:sz w:val="28"/>
          <w:szCs w:val="28"/>
        </w:rPr>
        <w:t>4. Students enrolled in the following courses must participate in EOC assessments, which constitute 30 percent of the final course grade:</w:t>
      </w:r>
    </w:p>
    <w:p w14:paraId="5D4BD63C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Algebra 1</w:t>
      </w:r>
    </w:p>
    <w:p w14:paraId="4166B136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Geometry</w:t>
      </w:r>
    </w:p>
    <w:p w14:paraId="1BA9304C" w14:textId="77777777" w:rsidR="000D6D68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Biology I</w:t>
      </w:r>
    </w:p>
    <w:p w14:paraId="5B9E42EE" w14:textId="44AE989E" w:rsidR="008910ED" w:rsidRPr="000D6D68" w:rsidRDefault="000D6D68" w:rsidP="000D6D68">
      <w:pPr>
        <w:ind w:firstLine="720"/>
        <w:rPr>
          <w:b/>
          <w:bCs/>
        </w:rPr>
      </w:pPr>
      <w:r w:rsidRPr="000D6D68">
        <w:rPr>
          <w:b/>
          <w:bCs/>
        </w:rPr>
        <w:t>U.S. History</w:t>
      </w:r>
    </w:p>
    <w:sectPr w:rsidR="008910ED" w:rsidRPr="000D6D68" w:rsidSect="000D6D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4179"/>
    <w:multiLevelType w:val="multilevel"/>
    <w:tmpl w:val="228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3364F6"/>
    <w:multiLevelType w:val="multilevel"/>
    <w:tmpl w:val="E800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B666A2"/>
    <w:multiLevelType w:val="multilevel"/>
    <w:tmpl w:val="4D4C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9105924">
    <w:abstractNumId w:val="0"/>
  </w:num>
  <w:num w:numId="2" w16cid:durableId="1989161282">
    <w:abstractNumId w:val="1"/>
  </w:num>
  <w:num w:numId="3" w16cid:durableId="1006981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68"/>
    <w:rsid w:val="000D6D68"/>
    <w:rsid w:val="004433E6"/>
    <w:rsid w:val="00453B38"/>
    <w:rsid w:val="0050786B"/>
    <w:rsid w:val="00656EB7"/>
    <w:rsid w:val="00672B9A"/>
    <w:rsid w:val="008910ED"/>
    <w:rsid w:val="00A27C3C"/>
    <w:rsid w:val="00D5760D"/>
    <w:rsid w:val="00F1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C960"/>
  <w15:chartTrackingRefBased/>
  <w15:docId w15:val="{57009E63-ECC0-4F9C-9CCE-7D4861DA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77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Greco-Ball</dc:creator>
  <cp:keywords/>
  <dc:description/>
  <cp:lastModifiedBy>Dorothy L. Binder</cp:lastModifiedBy>
  <cp:revision>3</cp:revision>
  <dcterms:created xsi:type="dcterms:W3CDTF">2025-08-04T00:12:00Z</dcterms:created>
  <dcterms:modified xsi:type="dcterms:W3CDTF">2025-08-04T00:13:00Z</dcterms:modified>
</cp:coreProperties>
</file>